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E74B" w14:textId="0E8EE070" w:rsidR="00104482" w:rsidRPr="00052634" w:rsidRDefault="00222F1F" w:rsidP="000526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052634">
        <w:rPr>
          <w:rFonts w:ascii="Arial" w:hAnsi="Arial" w:cs="Arial"/>
          <w:b/>
          <w:bCs/>
          <w:color w:val="222222"/>
          <w:sz w:val="28"/>
          <w:szCs w:val="28"/>
        </w:rPr>
        <w:t>Camp 284</w:t>
      </w:r>
      <w:bookmarkStart w:id="0" w:name="c284abbey"/>
      <w:bookmarkEnd w:id="0"/>
      <w:r w:rsidRPr="00052634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052634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Abbey Road Camp, Neath, Glamorganshire</w:t>
      </w:r>
    </w:p>
    <w:p w14:paraId="1A44D08D" w14:textId="5D017CF9" w:rsidR="00FE44C7" w:rsidRPr="00BA250F" w:rsidRDefault="00FE44C7" w:rsidP="00BA25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3950"/>
        <w:gridCol w:w="461"/>
        <w:gridCol w:w="1961"/>
        <w:gridCol w:w="1674"/>
        <w:gridCol w:w="2216"/>
        <w:gridCol w:w="2680"/>
        <w:gridCol w:w="1074"/>
      </w:tblGrid>
      <w:tr w:rsidR="00052634" w:rsidRPr="00BA250F" w14:paraId="2F07A492" w14:textId="77777777" w:rsidTr="007D3A70">
        <w:tc>
          <w:tcPr>
            <w:tcW w:w="15388" w:type="dxa"/>
            <w:gridSpan w:val="8"/>
            <w:shd w:val="clear" w:color="auto" w:fill="auto"/>
          </w:tcPr>
          <w:p w14:paraId="39F60AC3" w14:textId="4BB9E583" w:rsidR="00052634" w:rsidRPr="00052634" w:rsidRDefault="00052634" w:rsidP="000526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634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FE44C7" w:rsidRPr="00BA250F" w14:paraId="3113071E" w14:textId="77777777" w:rsidTr="00052634">
        <w:tc>
          <w:tcPr>
            <w:tcW w:w="1372" w:type="dxa"/>
            <w:shd w:val="clear" w:color="auto" w:fill="auto"/>
          </w:tcPr>
          <w:p w14:paraId="14EFC8FF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284(G.W.C.)</w:t>
            </w:r>
          </w:p>
        </w:tc>
        <w:tc>
          <w:tcPr>
            <w:tcW w:w="4010" w:type="dxa"/>
            <w:shd w:val="clear" w:color="auto" w:fill="auto"/>
          </w:tcPr>
          <w:p w14:paraId="4DFE8CCB" w14:textId="5856D0EE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Abbey Road Camp, Neath,</w:t>
            </w:r>
            <w:r w:rsidR="000526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50F">
              <w:rPr>
                <w:rFonts w:ascii="Arial" w:hAnsi="Arial" w:cs="Arial"/>
                <w:sz w:val="20"/>
                <w:szCs w:val="20"/>
              </w:rPr>
              <w:t>Glamorgan</w:t>
            </w:r>
          </w:p>
        </w:tc>
        <w:tc>
          <w:tcPr>
            <w:tcW w:w="292" w:type="dxa"/>
            <w:shd w:val="clear" w:color="auto" w:fill="auto"/>
          </w:tcPr>
          <w:p w14:paraId="396C1D64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W.</w:t>
            </w:r>
          </w:p>
        </w:tc>
        <w:tc>
          <w:tcPr>
            <w:tcW w:w="1983" w:type="dxa"/>
            <w:shd w:val="clear" w:color="auto" w:fill="auto"/>
          </w:tcPr>
          <w:p w14:paraId="03B05069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Priswar, Neath</w:t>
            </w:r>
          </w:p>
        </w:tc>
        <w:tc>
          <w:tcPr>
            <w:tcW w:w="1694" w:type="dxa"/>
            <w:shd w:val="clear" w:color="auto" w:fill="auto"/>
          </w:tcPr>
          <w:p w14:paraId="1E097FC6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Neath 922</w:t>
            </w:r>
          </w:p>
        </w:tc>
        <w:tc>
          <w:tcPr>
            <w:tcW w:w="2246" w:type="dxa"/>
            <w:shd w:val="clear" w:color="auto" w:fill="auto"/>
          </w:tcPr>
          <w:p w14:paraId="6D77882C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(Blank)</w:t>
            </w:r>
          </w:p>
        </w:tc>
        <w:tc>
          <w:tcPr>
            <w:tcW w:w="2715" w:type="dxa"/>
            <w:shd w:val="clear" w:color="auto" w:fill="auto"/>
          </w:tcPr>
          <w:p w14:paraId="1DAFF77F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 xml:space="preserve">Major </w:t>
            </w: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F.</w:t>
            </w:r>
            <w:proofErr w:type="gramStart"/>
            <w:r w:rsidRPr="00BA250F">
              <w:rPr>
                <w:rFonts w:ascii="Arial" w:hAnsi="Arial" w:cs="Arial"/>
                <w:sz w:val="20"/>
                <w:szCs w:val="20"/>
              </w:rPr>
              <w:t>H.Mann</w:t>
            </w:r>
            <w:proofErr w:type="spellEnd"/>
            <w:proofErr w:type="gramEnd"/>
          </w:p>
        </w:tc>
        <w:tc>
          <w:tcPr>
            <w:tcW w:w="1076" w:type="dxa"/>
            <w:shd w:val="clear" w:color="auto" w:fill="auto"/>
          </w:tcPr>
          <w:p w14:paraId="02B69231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v/1452/2</w:t>
            </w:r>
          </w:p>
        </w:tc>
      </w:tr>
    </w:tbl>
    <w:p w14:paraId="54D0181B" w14:textId="77777777" w:rsidR="00104482" w:rsidRPr="00BA250F" w:rsidRDefault="00104482" w:rsidP="00BA250F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2644"/>
        <w:gridCol w:w="3078"/>
      </w:tblGrid>
      <w:tr w:rsidR="00365A5C" w:rsidRPr="00BA250F" w14:paraId="73DF8885" w14:textId="77777777" w:rsidTr="00052634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B20C983" w14:textId="77777777" w:rsidR="00365A5C" w:rsidRPr="00052634" w:rsidRDefault="00365A5C" w:rsidP="00BA250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4572"/>
            <w:r w:rsidRPr="000526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0526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0526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052634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0526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52634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0526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52634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0526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365A5C" w:rsidRPr="00BA250F" w14:paraId="029AB753" w14:textId="77777777" w:rsidTr="00052634">
        <w:trPr>
          <w:trHeight w:val="17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1853FAA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FE84595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C24364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3A01A22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0177D25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28B268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BA250F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45121EF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8FCC3B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365A5C" w:rsidRPr="00BA250F" w14:paraId="0FAD1CC3" w14:textId="77777777" w:rsidTr="00052634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778DFF" w14:textId="77777777" w:rsidR="00365A5C" w:rsidRPr="00BA250F" w:rsidRDefault="00365A5C" w:rsidP="00BA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8F34DF" w14:textId="77777777" w:rsidR="00365A5C" w:rsidRPr="00BA250F" w:rsidRDefault="00365A5C" w:rsidP="00BA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EC398E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268AC2A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Abbey Road Camp, Neath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A1AE36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Glamorganshire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A51720" w14:textId="77777777" w:rsidR="00365A5C" w:rsidRPr="00BA250F" w:rsidRDefault="00365A5C" w:rsidP="00BA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D74E15E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F6BC93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Wales</w:t>
            </w:r>
          </w:p>
        </w:tc>
      </w:tr>
    </w:tbl>
    <w:p w14:paraId="4E7DCEE2" w14:textId="77777777" w:rsidR="005E439F" w:rsidRPr="00BA250F" w:rsidRDefault="005E439F" w:rsidP="00BA250F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2"/>
        <w:gridCol w:w="7266"/>
      </w:tblGrid>
      <w:tr w:rsidR="005E439F" w:rsidRPr="00BA250F" w14:paraId="1AE2B795" w14:textId="77777777" w:rsidTr="009700E2">
        <w:tc>
          <w:tcPr>
            <w:tcW w:w="8122" w:type="dxa"/>
            <w:vMerge w:val="restart"/>
          </w:tcPr>
          <w:p w14:paraId="4B769A27" w14:textId="4EFA7F9A" w:rsidR="005E439F" w:rsidRPr="00535C2C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535C2C">
              <w:rPr>
                <w:rFonts w:ascii="Arial" w:hAnsi="Arial" w:cs="Arial"/>
                <w:bCs/>
                <w:sz w:val="20"/>
                <w:szCs w:val="20"/>
              </w:rPr>
              <w:t>I have assumed the road was ‘Neath Abbey Road’ – highlighted on the map.</w:t>
            </w:r>
          </w:p>
          <w:p w14:paraId="2004B325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595846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A25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19C5A5B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4348AC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0E47D2BE" w14:textId="0AB902B5" w:rsidR="005E439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322E79" w14:textId="10F087C4" w:rsidR="009700E2" w:rsidRDefault="009700E2" w:rsidP="009700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Memories </w:t>
            </w:r>
            <w:r w:rsidRPr="009700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– “</w:t>
            </w:r>
            <w:r w:rsidRPr="009700E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 the middle of the war, Italian prisoners of war kept in a camp on Neath Abbey Road, Neath, often times worked outside on a farm in </w:t>
            </w:r>
            <w:proofErr w:type="spellStart"/>
            <w:r w:rsidRPr="009700E2">
              <w:rPr>
                <w:rFonts w:ascii="Arial" w:hAnsi="Arial" w:cs="Arial"/>
                <w:i/>
                <w:iCs/>
                <w:sz w:val="20"/>
                <w:szCs w:val="20"/>
              </w:rPr>
              <w:t>Bryncoch</w:t>
            </w:r>
            <w:proofErr w:type="spellEnd"/>
            <w:r w:rsidRPr="009700E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which was close to The </w:t>
            </w:r>
            <w:proofErr w:type="spellStart"/>
            <w:r w:rsidRPr="009700E2">
              <w:rPr>
                <w:rFonts w:ascii="Arial" w:hAnsi="Arial" w:cs="Arial"/>
                <w:i/>
                <w:iCs/>
                <w:sz w:val="20"/>
                <w:szCs w:val="20"/>
              </w:rPr>
              <w:t>Dyffryn</w:t>
            </w:r>
            <w:proofErr w:type="spellEnd"/>
            <w:r w:rsidRPr="009700E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Arms public house, under the supervision of the camp guards. The same Italian soldiers were put to work clearing an area about </w:t>
            </w:r>
            <w:proofErr w:type="gramStart"/>
            <w:r w:rsidRPr="009700E2">
              <w:rPr>
                <w:rFonts w:ascii="Arial" w:hAnsi="Arial" w:cs="Arial"/>
                <w:i/>
                <w:iCs/>
                <w:sz w:val="20"/>
                <w:szCs w:val="20"/>
              </w:rPr>
              <w:t>10 or 15 yards</w:t>
            </w:r>
            <w:proofErr w:type="gramEnd"/>
            <w:r w:rsidRPr="009700E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diameter in the midst of a copse of trees.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” </w:t>
            </w:r>
            <w:r w:rsidRPr="009700E2">
              <w:rPr>
                <w:rFonts w:ascii="Arial" w:hAnsi="Arial" w:cs="Arial"/>
                <w:sz w:val="20"/>
                <w:szCs w:val="20"/>
              </w:rPr>
              <w:t xml:space="preserve">(By </w:t>
            </w:r>
            <w:r>
              <w:rPr>
                <w:rFonts w:ascii="Arial" w:hAnsi="Arial" w:cs="Arial"/>
                <w:sz w:val="20"/>
                <w:szCs w:val="20"/>
              </w:rPr>
              <w:t>‘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littletom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brown’ – BBC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People’sWar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Article A7819752).</w:t>
            </w:r>
          </w:p>
          <w:p w14:paraId="467A43BA" w14:textId="77777777" w:rsidR="009700E2" w:rsidRPr="009700E2" w:rsidRDefault="009700E2" w:rsidP="009700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A97D31" w14:textId="2942DAC6" w:rsidR="009700E2" w:rsidRDefault="009700E2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 brief mention in the House of Commons, 1947, (is this a reference to the camp or to billets?):</w:t>
            </w:r>
          </w:p>
          <w:p w14:paraId="1E7BB3A0" w14:textId="45F930F3" w:rsidR="009700E2" w:rsidRPr="009700E2" w:rsidRDefault="009700E2" w:rsidP="009700E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00E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“Mr. D. J. Williams </w:t>
            </w:r>
            <w:r w:rsidRPr="009700E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asked the Secretary of State for War when the buildings at Abbey Road, Neath, Glamorganshire, now used to accommodate prisoners of war, will be vacated; and if he is aware that the Neath Borough Council is anxious to make use of these buildings for housing purposes in view of the serious housing problem locally.</w:t>
            </w:r>
          </w:p>
          <w:p w14:paraId="04BE393B" w14:textId="77777777" w:rsidR="009700E2" w:rsidRPr="009700E2" w:rsidRDefault="009700E2" w:rsidP="009700E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6F601028" w14:textId="26083D4D" w:rsidR="009700E2" w:rsidRPr="009700E2" w:rsidRDefault="009700E2" w:rsidP="009700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0E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Mr. Shinwell - </w:t>
            </w:r>
            <w:r w:rsidRPr="009700E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I am not yet in a position to make a statement about the future use of this accommodation.”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(Hansard, 16 December 1947, Vol 445).</w:t>
            </w:r>
          </w:p>
          <w:p w14:paraId="3535763A" w14:textId="77777777" w:rsidR="009700E2" w:rsidRPr="009700E2" w:rsidRDefault="009700E2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6C77FF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0445B97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AC42BF" w14:textId="401A1B71" w:rsidR="005E439F" w:rsidRPr="009700E2" w:rsidRDefault="005E439F" w:rsidP="009700E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7266" w:type="dxa"/>
          </w:tcPr>
          <w:p w14:paraId="08896B36" w14:textId="0B6A5B40" w:rsidR="005E439F" w:rsidRPr="00BA250F" w:rsidRDefault="00535C2C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A3B621F" wp14:editId="052062F2">
                  <wp:extent cx="4472940" cy="333756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bbey Road196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2940" cy="333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39F" w:rsidRPr="00BA250F" w14:paraId="14EDB292" w14:textId="77777777" w:rsidTr="009700E2">
        <w:tc>
          <w:tcPr>
            <w:tcW w:w="8122" w:type="dxa"/>
            <w:vMerge/>
          </w:tcPr>
          <w:p w14:paraId="06A9951E" w14:textId="77777777" w:rsidR="005E439F" w:rsidRPr="00BA250F" w:rsidRDefault="005E439F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7266" w:type="dxa"/>
          </w:tcPr>
          <w:p w14:paraId="32CA460A" w14:textId="14251BC2" w:rsidR="005E439F" w:rsidRPr="00BA250F" w:rsidRDefault="005E439F" w:rsidP="00BA250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535C2C">
              <w:rPr>
                <w:rFonts w:ascii="Arial" w:hAnsi="Arial" w:cs="Arial"/>
                <w:color w:val="222222"/>
                <w:sz w:val="20"/>
                <w:szCs w:val="20"/>
              </w:rPr>
              <w:t xml:space="preserve"> 1964</w:t>
            </w:r>
          </w:p>
        </w:tc>
      </w:tr>
    </w:tbl>
    <w:p w14:paraId="5B5E2F3F" w14:textId="77777777" w:rsidR="009700E2" w:rsidRDefault="009700E2" w:rsidP="009700E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C673433" w14:textId="6D24E51E" w:rsidR="00104482" w:rsidRPr="00486D22" w:rsidRDefault="009700E2" w:rsidP="00BA250F">
      <w:pPr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BA250F">
        <w:rPr>
          <w:rFonts w:ascii="Arial" w:hAnsi="Arial" w:cs="Arial"/>
          <w:color w:val="000000"/>
          <w:sz w:val="20"/>
          <w:szCs w:val="20"/>
        </w:rPr>
        <w:t xml:space="preserve">National Archives FO 1120/242 – Re-educational survey </w:t>
      </w:r>
      <w:proofErr w:type="gramStart"/>
      <w:r w:rsidRPr="00BA250F">
        <w:rPr>
          <w:rFonts w:ascii="Arial" w:hAnsi="Arial" w:cs="Arial"/>
          <w:color w:val="000000"/>
          <w:sz w:val="20"/>
          <w:szCs w:val="20"/>
        </w:rPr>
        <w:t>visit</w:t>
      </w:r>
      <w:proofErr w:type="gramEnd"/>
      <w:r w:rsidRPr="00BA250F">
        <w:rPr>
          <w:rFonts w:ascii="Arial" w:hAnsi="Arial" w:cs="Arial"/>
          <w:color w:val="000000"/>
          <w:sz w:val="20"/>
          <w:szCs w:val="20"/>
        </w:rPr>
        <w:t xml:space="preserve"> reports for camps 279 to 284. Dated 1 January 1946 – 31 December 1948</w:t>
      </w:r>
      <w:bookmarkStart w:id="2" w:name="_GoBack"/>
      <w:bookmarkEnd w:id="2"/>
    </w:p>
    <w:sectPr w:rsidR="00104482" w:rsidRPr="00486D22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93B7E" w14:textId="77777777" w:rsidR="00526748" w:rsidRDefault="00526748" w:rsidP="00152508">
      <w:pPr>
        <w:spacing w:after="0" w:line="240" w:lineRule="auto"/>
      </w:pPr>
      <w:r>
        <w:separator/>
      </w:r>
    </w:p>
  </w:endnote>
  <w:endnote w:type="continuationSeparator" w:id="0">
    <w:p w14:paraId="7C7D3533" w14:textId="77777777" w:rsidR="00526748" w:rsidRDefault="00526748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535C2C" w:rsidRDefault="00535C2C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535C2C" w:rsidRDefault="00535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F21AF" w14:textId="77777777" w:rsidR="00526748" w:rsidRDefault="00526748" w:rsidP="00152508">
      <w:pPr>
        <w:spacing w:after="0" w:line="240" w:lineRule="auto"/>
      </w:pPr>
      <w:r>
        <w:separator/>
      </w:r>
    </w:p>
  </w:footnote>
  <w:footnote w:type="continuationSeparator" w:id="0">
    <w:p w14:paraId="17F91736" w14:textId="77777777" w:rsidR="00526748" w:rsidRDefault="00526748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9DC"/>
    <w:rsid w:val="00052634"/>
    <w:rsid w:val="00067A11"/>
    <w:rsid w:val="000B2764"/>
    <w:rsid w:val="000D23FD"/>
    <w:rsid w:val="000D5FC6"/>
    <w:rsid w:val="00104482"/>
    <w:rsid w:val="00115297"/>
    <w:rsid w:val="001234E4"/>
    <w:rsid w:val="00132BC8"/>
    <w:rsid w:val="001372F3"/>
    <w:rsid w:val="00147566"/>
    <w:rsid w:val="00152508"/>
    <w:rsid w:val="0016098A"/>
    <w:rsid w:val="001D0264"/>
    <w:rsid w:val="001D5DBB"/>
    <w:rsid w:val="00211EB0"/>
    <w:rsid w:val="00222F1F"/>
    <w:rsid w:val="002535A4"/>
    <w:rsid w:val="00266AE4"/>
    <w:rsid w:val="002E3346"/>
    <w:rsid w:val="002F08E6"/>
    <w:rsid w:val="00326B11"/>
    <w:rsid w:val="00337B6F"/>
    <w:rsid w:val="00365A5C"/>
    <w:rsid w:val="00384538"/>
    <w:rsid w:val="003B0CB5"/>
    <w:rsid w:val="003B1B02"/>
    <w:rsid w:val="003F0E55"/>
    <w:rsid w:val="0041457C"/>
    <w:rsid w:val="00486D22"/>
    <w:rsid w:val="004E7621"/>
    <w:rsid w:val="004F09B0"/>
    <w:rsid w:val="004F6DB5"/>
    <w:rsid w:val="00501F3D"/>
    <w:rsid w:val="00526748"/>
    <w:rsid w:val="00535C2C"/>
    <w:rsid w:val="005B1596"/>
    <w:rsid w:val="005E439F"/>
    <w:rsid w:val="00602DDE"/>
    <w:rsid w:val="006058F0"/>
    <w:rsid w:val="006170BB"/>
    <w:rsid w:val="00634103"/>
    <w:rsid w:val="00664007"/>
    <w:rsid w:val="0067707E"/>
    <w:rsid w:val="0069119A"/>
    <w:rsid w:val="006B3711"/>
    <w:rsid w:val="006E499C"/>
    <w:rsid w:val="00705667"/>
    <w:rsid w:val="0071332D"/>
    <w:rsid w:val="00715D39"/>
    <w:rsid w:val="00792AB9"/>
    <w:rsid w:val="00793D61"/>
    <w:rsid w:val="007C6E4D"/>
    <w:rsid w:val="007D3A70"/>
    <w:rsid w:val="007F3D37"/>
    <w:rsid w:val="008B5C61"/>
    <w:rsid w:val="008C4407"/>
    <w:rsid w:val="008F5438"/>
    <w:rsid w:val="00933FA0"/>
    <w:rsid w:val="00951490"/>
    <w:rsid w:val="00961E11"/>
    <w:rsid w:val="009700E2"/>
    <w:rsid w:val="00975C13"/>
    <w:rsid w:val="009F0755"/>
    <w:rsid w:val="009F33B6"/>
    <w:rsid w:val="00A2625C"/>
    <w:rsid w:val="00A70771"/>
    <w:rsid w:val="00A84677"/>
    <w:rsid w:val="00AA1528"/>
    <w:rsid w:val="00AA7DEC"/>
    <w:rsid w:val="00AF668A"/>
    <w:rsid w:val="00AF7E91"/>
    <w:rsid w:val="00B1725F"/>
    <w:rsid w:val="00B811EB"/>
    <w:rsid w:val="00BA250F"/>
    <w:rsid w:val="00BA3DC0"/>
    <w:rsid w:val="00BA79E9"/>
    <w:rsid w:val="00BF18F1"/>
    <w:rsid w:val="00BF6088"/>
    <w:rsid w:val="00C11FA1"/>
    <w:rsid w:val="00C27281"/>
    <w:rsid w:val="00C71C2A"/>
    <w:rsid w:val="00C90FC2"/>
    <w:rsid w:val="00CA2925"/>
    <w:rsid w:val="00CB0C96"/>
    <w:rsid w:val="00CC3F93"/>
    <w:rsid w:val="00CF4A8D"/>
    <w:rsid w:val="00CF57AC"/>
    <w:rsid w:val="00D31999"/>
    <w:rsid w:val="00D517E2"/>
    <w:rsid w:val="00D75460"/>
    <w:rsid w:val="00D828EF"/>
    <w:rsid w:val="00D84853"/>
    <w:rsid w:val="00D902C8"/>
    <w:rsid w:val="00DA2E3D"/>
    <w:rsid w:val="00DB24BB"/>
    <w:rsid w:val="00E27FFC"/>
    <w:rsid w:val="00E32192"/>
    <w:rsid w:val="00E52100"/>
    <w:rsid w:val="00EB3755"/>
    <w:rsid w:val="00ED0D4D"/>
    <w:rsid w:val="00ED6D65"/>
    <w:rsid w:val="00F2020C"/>
    <w:rsid w:val="00F20325"/>
    <w:rsid w:val="00F63E29"/>
    <w:rsid w:val="00F664A2"/>
    <w:rsid w:val="00F704B0"/>
    <w:rsid w:val="00F82DCD"/>
    <w:rsid w:val="00FD6FD4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52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D6FD4"/>
    <w:rPr>
      <w:color w:val="954F72" w:themeColor="followedHyperlink"/>
      <w:u w:val="single"/>
    </w:rPr>
  </w:style>
  <w:style w:type="paragraph" w:customStyle="1" w:styleId="leaf">
    <w:name w:val="leaf"/>
    <w:basedOn w:val="Normal"/>
    <w:rsid w:val="005E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5E439F"/>
  </w:style>
  <w:style w:type="character" w:customStyle="1" w:styleId="covering-dates">
    <w:name w:val="covering-dates"/>
    <w:basedOn w:val="DefaultParagraphFont"/>
    <w:rsid w:val="005E439F"/>
  </w:style>
  <w:style w:type="character" w:customStyle="1" w:styleId="item-title">
    <w:name w:val="item-title"/>
    <w:basedOn w:val="DefaultParagraphFont"/>
    <w:rsid w:val="005E439F"/>
  </w:style>
  <w:style w:type="character" w:customStyle="1" w:styleId="Heading3Char">
    <w:name w:val="Heading 3 Char"/>
    <w:basedOn w:val="DefaultParagraphFont"/>
    <w:link w:val="Heading3"/>
    <w:uiPriority w:val="9"/>
    <w:rsid w:val="00E5210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F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DefaultParagraphFont"/>
    <w:rsid w:val="00CC3F93"/>
  </w:style>
  <w:style w:type="character" w:customStyle="1" w:styleId="share-text">
    <w:name w:val="share-text"/>
    <w:basedOn w:val="DefaultParagraphFont"/>
    <w:rsid w:val="009700E2"/>
  </w:style>
  <w:style w:type="character" w:styleId="Emphasis">
    <w:name w:val="Emphasis"/>
    <w:basedOn w:val="DefaultParagraphFont"/>
    <w:uiPriority w:val="20"/>
    <w:qFormat/>
    <w:rsid w:val="009700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253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77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5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3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5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3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2020-03-05T15:05:00Z</dcterms:created>
  <dcterms:modified xsi:type="dcterms:W3CDTF">2020-03-05T15:05:00Z</dcterms:modified>
</cp:coreProperties>
</file>