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949EF" w14:textId="720CBD08" w:rsidR="00183101" w:rsidRPr="00F47455" w:rsidRDefault="001C28DC" w:rsidP="00F474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7455">
        <w:rPr>
          <w:rFonts w:ascii="Arial" w:hAnsi="Arial" w:cs="Arial"/>
          <w:b/>
          <w:bCs/>
          <w:color w:val="222222"/>
          <w:sz w:val="28"/>
          <w:szCs w:val="28"/>
        </w:rPr>
        <w:t>Camp 185</w:t>
      </w:r>
      <w:bookmarkStart w:id="0" w:name="c185springhill"/>
      <w:bookmarkEnd w:id="0"/>
      <w:r w:rsidRP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47455">
        <w:rPr>
          <w:rFonts w:ascii="Arial" w:hAnsi="Arial" w:cs="Arial"/>
          <w:b/>
          <w:bCs/>
          <w:color w:val="000000"/>
          <w:sz w:val="28"/>
          <w:szCs w:val="28"/>
        </w:rPr>
        <w:t xml:space="preserve">Springhill Lodge Camp, </w:t>
      </w:r>
      <w:proofErr w:type="spellStart"/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Blockley</w:t>
      </w:r>
      <w:proofErr w:type="spellEnd"/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, Gloucestershire</w:t>
      </w:r>
    </w:p>
    <w:p w14:paraId="5198F087" w14:textId="4CA9186A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3727"/>
        <w:gridCol w:w="472"/>
        <w:gridCol w:w="2505"/>
        <w:gridCol w:w="1559"/>
        <w:gridCol w:w="1843"/>
        <w:gridCol w:w="2842"/>
        <w:gridCol w:w="1071"/>
      </w:tblGrid>
      <w:tr w:rsidR="00F47455" w:rsidRPr="00E00D29" w14:paraId="51C220A3" w14:textId="77777777" w:rsidTr="002F57A3">
        <w:tc>
          <w:tcPr>
            <w:tcW w:w="15390" w:type="dxa"/>
            <w:gridSpan w:val="8"/>
            <w:shd w:val="clear" w:color="auto" w:fill="auto"/>
          </w:tcPr>
          <w:p w14:paraId="60C07129" w14:textId="46CADBCE" w:rsidR="00F47455" w:rsidRPr="00F47455" w:rsidRDefault="00F47455" w:rsidP="00F47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036CA" w:rsidRPr="00E00D29" w14:paraId="6FDC20C1" w14:textId="77777777" w:rsidTr="00F47455">
        <w:tc>
          <w:tcPr>
            <w:tcW w:w="1371" w:type="dxa"/>
            <w:shd w:val="clear" w:color="auto" w:fill="auto"/>
          </w:tcPr>
          <w:p w14:paraId="320E87C0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185(G.W.C.)</w:t>
            </w:r>
          </w:p>
        </w:tc>
        <w:tc>
          <w:tcPr>
            <w:tcW w:w="3727" w:type="dxa"/>
            <w:shd w:val="clear" w:color="auto" w:fill="auto"/>
          </w:tcPr>
          <w:p w14:paraId="727AA0B2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Springhill Lodge Camp,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Blockley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, Moreton-in-Marsh,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Glos</w:t>
            </w:r>
            <w:proofErr w:type="spellEnd"/>
          </w:p>
        </w:tc>
        <w:tc>
          <w:tcPr>
            <w:tcW w:w="472" w:type="dxa"/>
            <w:shd w:val="clear" w:color="auto" w:fill="auto"/>
          </w:tcPr>
          <w:p w14:paraId="6573C599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2505" w:type="dxa"/>
            <w:shd w:val="clear" w:color="auto" w:fill="auto"/>
          </w:tcPr>
          <w:p w14:paraId="25705F04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Blockley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F9ED86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Broadway 252</w:t>
            </w:r>
          </w:p>
        </w:tc>
        <w:tc>
          <w:tcPr>
            <w:tcW w:w="1843" w:type="dxa"/>
            <w:shd w:val="clear" w:color="auto" w:fill="auto"/>
          </w:tcPr>
          <w:p w14:paraId="291A1C0D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Moreton-in-Marsh</w:t>
            </w:r>
          </w:p>
        </w:tc>
        <w:tc>
          <w:tcPr>
            <w:tcW w:w="2842" w:type="dxa"/>
            <w:shd w:val="clear" w:color="auto" w:fill="auto"/>
          </w:tcPr>
          <w:p w14:paraId="69B2E78D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00D29">
              <w:rPr>
                <w:rFonts w:ascii="Arial" w:hAnsi="Arial" w:cs="Arial"/>
                <w:sz w:val="20"/>
                <w:szCs w:val="20"/>
              </w:rPr>
              <w:t>Lt.Col.J</w:t>
            </w:r>
            <w:proofErr w:type="gramEnd"/>
            <w:r w:rsidRPr="00E00D29">
              <w:rPr>
                <w:rFonts w:ascii="Arial" w:hAnsi="Arial" w:cs="Arial"/>
                <w:sz w:val="20"/>
                <w:szCs w:val="20"/>
              </w:rPr>
              <w:t>.Hassell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D.S.O. M.C.</w:t>
            </w:r>
          </w:p>
        </w:tc>
        <w:tc>
          <w:tcPr>
            <w:tcW w:w="1071" w:type="dxa"/>
            <w:shd w:val="clear" w:color="auto" w:fill="auto"/>
          </w:tcPr>
          <w:p w14:paraId="0F69FB58" w14:textId="77777777" w:rsidR="001036CA" w:rsidRPr="00E00D29" w:rsidRDefault="001036CA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1F980230" w14:textId="77777777" w:rsidR="001036CA" w:rsidRPr="00E00D29" w:rsidRDefault="001036CA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402"/>
        <w:gridCol w:w="1701"/>
        <w:gridCol w:w="993"/>
        <w:gridCol w:w="1417"/>
        <w:gridCol w:w="5632"/>
      </w:tblGrid>
      <w:tr w:rsidR="00F3331D" w:rsidRPr="00E00D29" w14:paraId="62900BF4" w14:textId="77777777" w:rsidTr="00F47455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1793DB" w14:textId="77777777" w:rsidR="00F3331D" w:rsidRPr="00F47455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772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08B5997D" w14:textId="77777777" w:rsidTr="00F47455">
        <w:trPr>
          <w:trHeight w:val="6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76FD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4511797"/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FABA5D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CC562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12043C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396B7A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DD26EC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2B1276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7013D5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F3331D" w:rsidRPr="00E00D29" w14:paraId="50D6FD2B" w14:textId="77777777" w:rsidTr="00F4745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CE125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SP 132 357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A2B42E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E70601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DE1E2B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Springhill Lodge Camp, Five Mile Drive,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Blockley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382E3C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Gloucestershire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52B31B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ADB73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5AEA30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Large complex of huts within a roughly octagonal double wire perimeter fence guarded by watchtowers</w:t>
            </w:r>
          </w:p>
        </w:tc>
      </w:tr>
    </w:tbl>
    <w:p w14:paraId="0988D655" w14:textId="38490327" w:rsidR="00F3331D" w:rsidRDefault="00F3331D" w:rsidP="00E00D2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5"/>
      </w:tblGrid>
      <w:tr w:rsidR="00FD056E" w14:paraId="10B01912" w14:textId="77777777" w:rsidTr="00150A00">
        <w:tc>
          <w:tcPr>
            <w:tcW w:w="7225" w:type="dxa"/>
          </w:tcPr>
          <w:p w14:paraId="05EDD2AB" w14:textId="3AAF2219" w:rsidR="00FD056E" w:rsidRDefault="00FD056E" w:rsidP="00FD0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D2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BBF970" wp14:editId="5F3EC830">
                  <wp:extent cx="4058375" cy="4176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375" cy="41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14:paraId="0FB793DC" w14:textId="0320C1AF" w:rsidR="00FD056E" w:rsidRDefault="00846A4B" w:rsidP="00E00D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B2FF6A" wp14:editId="3A6A487B">
                  <wp:extent cx="4836567" cy="4176000"/>
                  <wp:effectExtent l="0" t="0" r="254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springhil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67" cy="41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6E" w14:paraId="4F9729A3" w14:textId="77777777" w:rsidTr="00150A00">
        <w:tc>
          <w:tcPr>
            <w:tcW w:w="7225" w:type="dxa"/>
          </w:tcPr>
          <w:p w14:paraId="4EBE7937" w14:textId="270A345D" w:rsidR="00FD056E" w:rsidRPr="00846A4B" w:rsidRDefault="00FD056E" w:rsidP="00846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56E">
              <w:rPr>
                <w:rFonts w:ascii="Arial" w:hAnsi="Arial" w:cs="Arial"/>
                <w:sz w:val="20"/>
                <w:szCs w:val="20"/>
              </w:rPr>
              <w:t>Aerial view of Springhill camp from 1947</w:t>
            </w:r>
          </w:p>
        </w:tc>
        <w:tc>
          <w:tcPr>
            <w:tcW w:w="8165" w:type="dxa"/>
          </w:tcPr>
          <w:p w14:paraId="7C3D1D3A" w14:textId="65AD0C5E" w:rsidR="00FD056E" w:rsidRPr="00FD056E" w:rsidRDefault="00FD056E" w:rsidP="00FD05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056E">
              <w:rPr>
                <w:rFonts w:ascii="Arial" w:hAnsi="Arial" w:cs="Arial"/>
                <w:bCs/>
                <w:sz w:val="20"/>
                <w:szCs w:val="20"/>
              </w:rPr>
              <w:t>Ordnance Survey 195</w:t>
            </w:r>
            <w:r w:rsidR="00846A4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640AC69B" w14:textId="77777777" w:rsidR="00FD056E" w:rsidRDefault="00FD056E" w:rsidP="00E00D2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732"/>
      </w:tblGrid>
      <w:tr w:rsidR="00FD056E" w14:paraId="7723198F" w14:textId="77777777" w:rsidTr="00B43349">
        <w:tc>
          <w:tcPr>
            <w:tcW w:w="6658" w:type="dxa"/>
          </w:tcPr>
          <w:p w14:paraId="02501A66" w14:textId="2C2EB4E3" w:rsidR="00FD056E" w:rsidRDefault="00FD056E" w:rsidP="00FD05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16DE3472" wp14:editId="2112B641">
                  <wp:extent cx="4086757" cy="2952000"/>
                  <wp:effectExtent l="0" t="0" r="0" b="127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Springhillcamp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57" cy="29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</w:tcPr>
          <w:p w14:paraId="4C5993A7" w14:textId="75AA968D" w:rsidR="009C7754" w:rsidRDefault="009C7754" w:rsidP="00FD05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7754">
              <w:rPr>
                <w:rFonts w:ascii="Arial" w:hAnsi="Arial" w:cs="Arial"/>
                <w:bCs/>
                <w:sz w:val="20"/>
                <w:szCs w:val="20"/>
              </w:rPr>
              <w:t>Picture plan of the camp produced by a German pow. With thanks to Chipping Campden History Society</w:t>
            </w:r>
            <w:r w:rsidR="00DB200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C7754">
              <w:rPr>
                <w:rFonts w:ascii="Arial" w:hAnsi="Arial" w:cs="Arial"/>
                <w:bCs/>
                <w:sz w:val="20"/>
                <w:szCs w:val="20"/>
              </w:rPr>
              <w:t xml:space="preserve"> (see website details below).</w:t>
            </w:r>
          </w:p>
          <w:p w14:paraId="4668F0D6" w14:textId="42EC1643" w:rsidR="009C7754" w:rsidRDefault="009C7754" w:rsidP="00FD05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1EDDFB" w14:textId="4B499A13" w:rsidR="009C7754" w:rsidRPr="009C7754" w:rsidRDefault="009C7754" w:rsidP="00FD05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NOTE: There is an excellent chapter about Camp 185 in Ian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Hollingsbee’s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book. I therefore only give a summary and a few further details here.</w:t>
            </w:r>
          </w:p>
          <w:p w14:paraId="581236FE" w14:textId="77777777" w:rsidR="009C7754" w:rsidRDefault="009C7754" w:rsidP="00FD05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34485" w14:textId="136B8519" w:rsidR="00FD056E" w:rsidRPr="00D6426E" w:rsidRDefault="00FD056E" w:rsidP="00FD05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C7754">
              <w:rPr>
                <w:rFonts w:ascii="Arial" w:hAnsi="Arial" w:cs="Arial"/>
                <w:bCs/>
                <w:sz w:val="20"/>
                <w:szCs w:val="20"/>
              </w:rPr>
              <w:t>Built as workers</w:t>
            </w:r>
            <w:r w:rsidR="00DB2001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9C7754">
              <w:rPr>
                <w:rFonts w:ascii="Arial" w:hAnsi="Arial" w:cs="Arial"/>
                <w:bCs/>
                <w:sz w:val="20"/>
                <w:szCs w:val="20"/>
              </w:rPr>
              <w:t xml:space="preserve"> accommodation in 1937</w:t>
            </w:r>
            <w:r w:rsidR="00AD0211">
              <w:rPr>
                <w:rFonts w:ascii="Arial" w:hAnsi="Arial" w:cs="Arial"/>
                <w:bCs/>
                <w:sz w:val="20"/>
                <w:szCs w:val="20"/>
              </w:rPr>
              <w:t>. Used for British military accommodation from the start of the war, possibly also US troops up to D-day.</w:t>
            </w:r>
          </w:p>
          <w:p w14:paraId="06C84204" w14:textId="77777777" w:rsidR="00FD056E" w:rsidRPr="00D6426E" w:rsidRDefault="00FD056E" w:rsidP="00FD05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994090" w14:textId="1EDDC0B6" w:rsidR="00FD056E" w:rsidRPr="00AD0211" w:rsidRDefault="00FD056E" w:rsidP="00FD056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AD0211" w:rsidRPr="00AD0211">
              <w:rPr>
                <w:rFonts w:ascii="Arial" w:hAnsi="Arial" w:cs="Arial"/>
                <w:bCs/>
                <w:sz w:val="20"/>
                <w:szCs w:val="20"/>
              </w:rPr>
              <w:t xml:space="preserve">Opened as a pow </w:t>
            </w:r>
            <w:r w:rsidR="00150A00">
              <w:rPr>
                <w:rFonts w:ascii="Arial" w:hAnsi="Arial" w:cs="Arial"/>
                <w:bCs/>
                <w:sz w:val="20"/>
                <w:szCs w:val="20"/>
              </w:rPr>
              <w:t>Base C</w:t>
            </w:r>
            <w:r w:rsidR="00AD0211" w:rsidRPr="00AD0211">
              <w:rPr>
                <w:rFonts w:ascii="Arial" w:hAnsi="Arial" w:cs="Arial"/>
                <w:bCs/>
                <w:sz w:val="20"/>
                <w:szCs w:val="20"/>
              </w:rPr>
              <w:t xml:space="preserve">amp in </w:t>
            </w:r>
            <w:r w:rsidR="00F738B2">
              <w:rPr>
                <w:rFonts w:ascii="Arial" w:hAnsi="Arial" w:cs="Arial"/>
                <w:bCs/>
                <w:sz w:val="20"/>
                <w:szCs w:val="20"/>
              </w:rPr>
              <w:t xml:space="preserve">September </w:t>
            </w:r>
            <w:r w:rsidR="00AD0211" w:rsidRPr="00AD0211">
              <w:rPr>
                <w:rFonts w:ascii="Arial" w:hAnsi="Arial" w:cs="Arial"/>
                <w:bCs/>
                <w:sz w:val="20"/>
                <w:szCs w:val="20"/>
              </w:rPr>
              <w:t>1944</w:t>
            </w:r>
            <w:r w:rsidR="00AD0211">
              <w:rPr>
                <w:rFonts w:ascii="Arial" w:hAnsi="Arial" w:cs="Arial"/>
                <w:bCs/>
                <w:sz w:val="20"/>
                <w:szCs w:val="20"/>
              </w:rPr>
              <w:t xml:space="preserve"> - d</w:t>
            </w:r>
            <w:r w:rsidR="00AD0211" w:rsidRPr="00AD0211">
              <w:rPr>
                <w:rFonts w:ascii="Arial" w:hAnsi="Arial" w:cs="Arial"/>
                <w:bCs/>
                <w:sz w:val="20"/>
                <w:szCs w:val="20"/>
              </w:rPr>
              <w:t xml:space="preserve">escribed </w:t>
            </w:r>
            <w:r w:rsidR="00AD0211">
              <w:rPr>
                <w:rFonts w:ascii="Arial" w:hAnsi="Arial" w:cs="Arial"/>
                <w:bCs/>
                <w:sz w:val="20"/>
                <w:szCs w:val="20"/>
              </w:rPr>
              <w:t xml:space="preserve">shortly after </w:t>
            </w:r>
            <w:r w:rsidR="00AD0211" w:rsidRPr="00AD0211">
              <w:rPr>
                <w:rFonts w:ascii="Arial" w:hAnsi="Arial" w:cs="Arial"/>
                <w:bCs/>
                <w:sz w:val="20"/>
                <w:szCs w:val="20"/>
              </w:rPr>
              <w:t>by the I</w:t>
            </w:r>
            <w:r w:rsidR="00AD0211" w:rsidRPr="009C7754">
              <w:rPr>
                <w:rFonts w:ascii="Arial" w:hAnsi="Arial" w:cs="Arial"/>
                <w:bCs/>
                <w:sz w:val="20"/>
                <w:szCs w:val="20"/>
              </w:rPr>
              <w:t>nternational Committee of the Red Cro</w:t>
            </w:r>
            <w:r w:rsidR="00AD0211">
              <w:rPr>
                <w:rFonts w:ascii="Arial" w:hAnsi="Arial" w:cs="Arial"/>
                <w:bCs/>
                <w:sz w:val="20"/>
                <w:szCs w:val="20"/>
              </w:rPr>
              <w:t xml:space="preserve">ss </w:t>
            </w:r>
            <w:r w:rsidR="00AD0211" w:rsidRPr="009C7754">
              <w:rPr>
                <w:rFonts w:ascii="Arial" w:hAnsi="Arial" w:cs="Arial"/>
                <w:bCs/>
                <w:sz w:val="20"/>
                <w:szCs w:val="20"/>
              </w:rPr>
              <w:t>(ICRC)</w:t>
            </w:r>
            <w:r w:rsidR="00AD0211">
              <w:rPr>
                <w:rFonts w:ascii="Arial" w:hAnsi="Arial" w:cs="Arial"/>
                <w:bCs/>
                <w:sz w:val="20"/>
                <w:szCs w:val="20"/>
              </w:rPr>
              <w:t xml:space="preserve"> as, “one of the best fitted out we have visited”. The camp was expanded during its time and accommodation was in Nissen huts, wooden huts and brick</w:t>
            </w:r>
            <w:r w:rsidR="00933A3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D0211">
              <w:rPr>
                <w:rFonts w:ascii="Arial" w:hAnsi="Arial" w:cs="Arial"/>
                <w:bCs/>
                <w:sz w:val="20"/>
                <w:szCs w:val="20"/>
              </w:rPr>
              <w:t>built buildings.</w:t>
            </w:r>
            <w:r w:rsidR="00150A00">
              <w:rPr>
                <w:rFonts w:ascii="Arial" w:hAnsi="Arial" w:cs="Arial"/>
                <w:bCs/>
                <w:sz w:val="20"/>
                <w:szCs w:val="20"/>
              </w:rPr>
              <w:t xml:space="preserve"> Capacity was stated to be 7,500, but the highest number reached was 2</w:t>
            </w:r>
            <w:r w:rsidR="00DB200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50A00">
              <w:rPr>
                <w:rFonts w:ascii="Arial" w:hAnsi="Arial" w:cs="Arial"/>
                <w:bCs/>
                <w:sz w:val="20"/>
                <w:szCs w:val="20"/>
              </w:rPr>
              <w:t>350 when it opened.</w:t>
            </w:r>
          </w:p>
          <w:p w14:paraId="514EAC1E" w14:textId="72604ACE" w:rsidR="00FD056E" w:rsidRDefault="00FD056E" w:rsidP="00FD056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22AB75" w14:textId="4FE02753" w:rsidR="00F738B2" w:rsidRDefault="00F738B2" w:rsidP="00FD056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first pows were mixed nationalities – 1140 Germans, 1200 Polish, 7 Dutch, 1 French, 1 Lithuanian, 1 Turk. 2 camp leaders, 1 German and 1 Polish are recorded in the first ICRC report. Mixed nationality camps were seen as difficult to manage and in the next report only German pows </w:t>
            </w:r>
            <w:r w:rsidR="00933A30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 recorded.</w:t>
            </w:r>
            <w:r w:rsidR="00933A30">
              <w:rPr>
                <w:rFonts w:ascii="Arial" w:hAnsi="Arial" w:cs="Arial"/>
                <w:bCs/>
                <w:sz w:val="20"/>
                <w:szCs w:val="20"/>
              </w:rPr>
              <w:t xml:space="preserve"> Pows were considered to be low-risk.</w:t>
            </w:r>
          </w:p>
          <w:p w14:paraId="56117785" w14:textId="35DF8689" w:rsidR="009C7754" w:rsidRPr="009C7754" w:rsidRDefault="009C7754" w:rsidP="00933A30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4763C9" w14:textId="5F21D22F" w:rsidR="008C35DE" w:rsidRPr="00B43349" w:rsidRDefault="008C35DE" w:rsidP="00933A30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  <w:gridCol w:w="7008"/>
      </w:tblGrid>
      <w:tr w:rsidR="00B43349" w14:paraId="6ADFBC21" w14:textId="77777777" w:rsidTr="00B43349">
        <w:tc>
          <w:tcPr>
            <w:tcW w:w="8642" w:type="dxa"/>
            <w:vMerge w:val="restart"/>
          </w:tcPr>
          <w:p w14:paraId="66F3243C" w14:textId="3C36DB89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 ex-guard stated that there were a few escape attempts, but they were not overly serious</w:t>
            </w:r>
            <w:r w:rsidR="00DB200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all were quickly recaptured. </w:t>
            </w:r>
          </w:p>
          <w:p w14:paraId="63E0EDB8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895042" w14:textId="18C1F501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ICRC report from June 1946 records 200 pows arriving from camps in Belgium in a severe state of malnutrition. 2 of these pows died in transit to hospital, 2 more died in the camp’s infirmary. 1 suicide was also noted.</w:t>
            </w:r>
          </w:p>
          <w:p w14:paraId="41D8BF21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2935F2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camp status changed from a Base Camp to a Working Camp in October 1946.</w:t>
            </w:r>
          </w:p>
          <w:p w14:paraId="4F076067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0A20F0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7754">
              <w:rPr>
                <w:rFonts w:ascii="Arial" w:hAnsi="Arial" w:cs="Arial"/>
                <w:bCs/>
                <w:sz w:val="20"/>
                <w:szCs w:val="20"/>
              </w:rPr>
              <w:t>The camp was inspected by the ICRC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 25 October 1944, 25 April 1945, 23 January 1946 (2134 pows), 15 June 1946, 1 June 1947 (1872 pows main and hostels), 10 November 1947 (1186 pows – 673 main camp).</w:t>
            </w:r>
          </w:p>
          <w:p w14:paraId="449E8901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FAC1D5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Camp commandant c1946 / 1947 Lieutenant Colonel </w:t>
            </w:r>
            <w:r w:rsidRPr="00E00D29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z w:val="20"/>
                <w:szCs w:val="20"/>
              </w:rPr>
              <w:t>Hassell, D.S.O. M.C.</w:t>
            </w:r>
          </w:p>
          <w:p w14:paraId="7EEAD361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comandant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1947 Lieutenant Colonel J P Fowler-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from the Hampshire Regiment.</w:t>
            </w:r>
          </w:p>
          <w:p w14:paraId="11BC29A0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959C7D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Five hostels: (there were also billets)</w:t>
            </w:r>
          </w:p>
          <w:p w14:paraId="58A15E8C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Norton – 228 pows, June 1947 – 185, November 1947.</w:t>
            </w:r>
          </w:p>
          <w:p w14:paraId="41B4F381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Burford – 50, June 1947 – closed by November 1947.</w:t>
            </w:r>
          </w:p>
          <w:p w14:paraId="55EE831D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Stanton – 203, June 1947 – 45, November 1947.</w:t>
            </w:r>
          </w:p>
          <w:p w14:paraId="3A28D4EA" w14:textId="77777777" w:rsid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Condicote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123, June 1947 - 181, November 1947.</w:t>
            </w:r>
          </w:p>
          <w:p w14:paraId="18F1F268" w14:textId="1D14DCD9" w:rsidR="00B43349" w:rsidRPr="00B43349" w:rsidRDefault="00B43349" w:rsidP="00B4334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Horley - 39, June 1947</w:t>
            </w:r>
          </w:p>
        </w:tc>
        <w:tc>
          <w:tcPr>
            <w:tcW w:w="6748" w:type="dxa"/>
          </w:tcPr>
          <w:p w14:paraId="14ED338F" w14:textId="2A87E432" w:rsidR="00B43349" w:rsidRDefault="00B43349" w:rsidP="00933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A4A1E24" wp14:editId="4CA3FF96">
                  <wp:extent cx="4312920" cy="3094349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overnort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237" cy="310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349" w14:paraId="198BFA97" w14:textId="77777777" w:rsidTr="00B43349">
        <w:tc>
          <w:tcPr>
            <w:tcW w:w="8642" w:type="dxa"/>
            <w:vMerge/>
          </w:tcPr>
          <w:p w14:paraId="7960F2ED" w14:textId="77777777" w:rsidR="00B43349" w:rsidRDefault="00B43349" w:rsidP="00933A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8" w:type="dxa"/>
          </w:tcPr>
          <w:p w14:paraId="175456A0" w14:textId="5CFAFF40" w:rsidR="00B43349" w:rsidRDefault="00B43349" w:rsidP="00B43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Ordnance Survey 1955 - Over Norton – SP 324 285</w:t>
            </w:r>
          </w:p>
        </w:tc>
      </w:tr>
    </w:tbl>
    <w:p w14:paraId="7BBDEF99" w14:textId="77777777" w:rsidR="00933A30" w:rsidRDefault="00933A30" w:rsidP="00933A30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5E50E544" w14:textId="77777777" w:rsidR="00B43349" w:rsidRDefault="00B43349" w:rsidP="00933A3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Camp 37 at </w:t>
      </w:r>
      <w:proofErr w:type="spellStart"/>
      <w:r>
        <w:rPr>
          <w:rFonts w:ascii="Arial" w:hAnsi="Arial" w:cs="Arial"/>
          <w:sz w:val="20"/>
          <w:szCs w:val="20"/>
        </w:rPr>
        <w:t>Sudeley</w:t>
      </w:r>
      <w:proofErr w:type="spellEnd"/>
      <w:r>
        <w:rPr>
          <w:rFonts w:ascii="Arial" w:hAnsi="Arial" w:cs="Arial"/>
          <w:sz w:val="20"/>
          <w:szCs w:val="20"/>
        </w:rPr>
        <w:t xml:space="preserve"> was administered by Camp 185 during 1947.</w:t>
      </w:r>
    </w:p>
    <w:p w14:paraId="015460DE" w14:textId="77777777" w:rsidR="00B43349" w:rsidRDefault="00B43349" w:rsidP="00933A30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CB73E2A" w14:textId="6078474E" w:rsidR="00B43349" w:rsidRDefault="00B43349" w:rsidP="00933A3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camp closed 31 January 1948</w:t>
      </w:r>
    </w:p>
    <w:p w14:paraId="104B02B2" w14:textId="77777777" w:rsidR="00B43349" w:rsidRDefault="00B43349" w:rsidP="00933A30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09DC6DB" w14:textId="31B166D9" w:rsidR="00933A30" w:rsidRPr="00D6426E" w:rsidRDefault="00933A30" w:rsidP="00933A3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E00D29">
        <w:rPr>
          <w:rFonts w:ascii="Arial" w:hAnsi="Arial" w:cs="Arial"/>
          <w:color w:val="000000"/>
          <w:sz w:val="20"/>
          <w:szCs w:val="20"/>
        </w:rPr>
        <w:t xml:space="preserve">ecame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00D29">
        <w:rPr>
          <w:rFonts w:ascii="Arial" w:hAnsi="Arial" w:cs="Arial"/>
          <w:color w:val="000000"/>
          <w:sz w:val="20"/>
          <w:szCs w:val="20"/>
        </w:rPr>
        <w:t xml:space="preserve"> Polish settlement administered by the National Assistance Board.</w:t>
      </w:r>
      <w:r w:rsidR="00DB2001">
        <w:rPr>
          <w:rFonts w:ascii="Arial" w:hAnsi="Arial" w:cs="Arial"/>
          <w:color w:val="000000"/>
          <w:sz w:val="20"/>
          <w:szCs w:val="20"/>
        </w:rPr>
        <w:t xml:space="preserve"> 2019 the latest OS map still shows ‘Camp (dis)’.</w:t>
      </w:r>
    </w:p>
    <w:p w14:paraId="7FE28636" w14:textId="77777777" w:rsidR="00933A30" w:rsidRPr="00D6426E" w:rsidRDefault="00933A30" w:rsidP="00933A3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39766D" w14:textId="71C5673F" w:rsidR="00933A30" w:rsidRPr="00846A4B" w:rsidRDefault="00933A30" w:rsidP="00846A4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  <w:bookmarkStart w:id="3" w:name="_GoBack"/>
      <w:bookmarkEnd w:id="3"/>
    </w:p>
    <w:p w14:paraId="5F810A4A" w14:textId="77777777" w:rsidR="00933A30" w:rsidRDefault="00933A30" w:rsidP="00933A3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747498CA" w14:textId="77777777" w:rsidR="00933A30" w:rsidRDefault="0046688B" w:rsidP="00933A3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933A30" w:rsidRPr="00732FB3">
          <w:rPr>
            <w:rStyle w:val="Hyperlink"/>
            <w:rFonts w:ascii="Arial" w:hAnsi="Arial" w:cs="Arial"/>
            <w:sz w:val="20"/>
            <w:szCs w:val="20"/>
          </w:rPr>
          <w:t>www.chippingcampdenhistory.org.uk/wp-search/springhill</w:t>
        </w:r>
      </w:hyperlink>
    </w:p>
    <w:p w14:paraId="38166A67" w14:textId="77777777" w:rsidR="00933A30" w:rsidRDefault="00933A30" w:rsidP="00933A30">
      <w:pPr>
        <w:jc w:val="both"/>
        <w:rPr>
          <w:rFonts w:ascii="Arial" w:hAnsi="Arial" w:cs="Arial"/>
          <w:b/>
          <w:sz w:val="20"/>
          <w:szCs w:val="20"/>
        </w:rPr>
      </w:pPr>
    </w:p>
    <w:p w14:paraId="03FE5AD7" w14:textId="4EFCD659" w:rsidR="0081274C" w:rsidRPr="00E00D29" w:rsidRDefault="00933A30" w:rsidP="00933A30">
      <w:pPr>
        <w:rPr>
          <w:rFonts w:ascii="Arial" w:hAnsi="Arial" w:cs="Arial"/>
          <w:color w:val="222222"/>
          <w:sz w:val="20"/>
          <w:szCs w:val="20"/>
        </w:rPr>
      </w:pPr>
      <w:r w:rsidRPr="009C7754">
        <w:rPr>
          <w:rFonts w:ascii="Arial" w:hAnsi="Arial" w:cs="Arial"/>
          <w:bCs/>
          <w:sz w:val="20"/>
          <w:szCs w:val="20"/>
        </w:rPr>
        <w:t xml:space="preserve">Inside the Wire – Ian </w:t>
      </w:r>
      <w:proofErr w:type="spellStart"/>
      <w:proofErr w:type="gramStart"/>
      <w:r w:rsidRPr="009C7754">
        <w:rPr>
          <w:rFonts w:ascii="Arial" w:hAnsi="Arial" w:cs="Arial"/>
          <w:bCs/>
          <w:sz w:val="20"/>
          <w:szCs w:val="20"/>
        </w:rPr>
        <w:t>Hollingsbee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2014 – The History Press.</w:t>
      </w:r>
    </w:p>
    <w:p w14:paraId="3AE06D0D" w14:textId="059FE0CE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7E56F1">
      <w:footerReference w:type="default" r:id="rId13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83C14" w14:textId="77777777" w:rsidR="0046688B" w:rsidRDefault="0046688B" w:rsidP="00152508">
      <w:r>
        <w:separator/>
      </w:r>
    </w:p>
  </w:endnote>
  <w:endnote w:type="continuationSeparator" w:id="0">
    <w:p w14:paraId="5AB2258E" w14:textId="77777777" w:rsidR="0046688B" w:rsidRDefault="0046688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D056E" w:rsidRDefault="00FD056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D056E" w:rsidRDefault="00FD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FC5D7" w14:textId="77777777" w:rsidR="0046688B" w:rsidRDefault="0046688B" w:rsidP="00152508">
      <w:r>
        <w:separator/>
      </w:r>
    </w:p>
  </w:footnote>
  <w:footnote w:type="continuationSeparator" w:id="0">
    <w:p w14:paraId="2D758709" w14:textId="77777777" w:rsidR="0046688B" w:rsidRDefault="0046688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0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12E02"/>
    <w:rsid w:val="0011791C"/>
    <w:rsid w:val="00132B03"/>
    <w:rsid w:val="00145051"/>
    <w:rsid w:val="00150A00"/>
    <w:rsid w:val="00152508"/>
    <w:rsid w:val="001817DD"/>
    <w:rsid w:val="00183101"/>
    <w:rsid w:val="00183FD1"/>
    <w:rsid w:val="001847F5"/>
    <w:rsid w:val="001A0193"/>
    <w:rsid w:val="001C1D43"/>
    <w:rsid w:val="001C28DC"/>
    <w:rsid w:val="001E007C"/>
    <w:rsid w:val="001E626B"/>
    <w:rsid w:val="00230F5C"/>
    <w:rsid w:val="002357C0"/>
    <w:rsid w:val="002541C3"/>
    <w:rsid w:val="00256D13"/>
    <w:rsid w:val="00274C72"/>
    <w:rsid w:val="00281CAC"/>
    <w:rsid w:val="002915B6"/>
    <w:rsid w:val="002948A3"/>
    <w:rsid w:val="00297582"/>
    <w:rsid w:val="002A4CFF"/>
    <w:rsid w:val="002B788C"/>
    <w:rsid w:val="002D499C"/>
    <w:rsid w:val="002D6C22"/>
    <w:rsid w:val="002D6FD2"/>
    <w:rsid w:val="002D78FE"/>
    <w:rsid w:val="002E0E0F"/>
    <w:rsid w:val="002F43A9"/>
    <w:rsid w:val="002F57A3"/>
    <w:rsid w:val="00305F3F"/>
    <w:rsid w:val="003334A9"/>
    <w:rsid w:val="00372F00"/>
    <w:rsid w:val="00385D38"/>
    <w:rsid w:val="003C1AC0"/>
    <w:rsid w:val="003C3193"/>
    <w:rsid w:val="003C46AD"/>
    <w:rsid w:val="003D18A2"/>
    <w:rsid w:val="003D31D2"/>
    <w:rsid w:val="003D6322"/>
    <w:rsid w:val="003E368C"/>
    <w:rsid w:val="00404350"/>
    <w:rsid w:val="00406727"/>
    <w:rsid w:val="004330FC"/>
    <w:rsid w:val="0045209A"/>
    <w:rsid w:val="00452BBD"/>
    <w:rsid w:val="004552E9"/>
    <w:rsid w:val="004644CA"/>
    <w:rsid w:val="0046688B"/>
    <w:rsid w:val="00486EF1"/>
    <w:rsid w:val="004948AD"/>
    <w:rsid w:val="004A5553"/>
    <w:rsid w:val="004B172B"/>
    <w:rsid w:val="004B2E7C"/>
    <w:rsid w:val="004B4AAD"/>
    <w:rsid w:val="004D66A8"/>
    <w:rsid w:val="004E26C3"/>
    <w:rsid w:val="004E632B"/>
    <w:rsid w:val="004F115F"/>
    <w:rsid w:val="004F1ED5"/>
    <w:rsid w:val="005255C5"/>
    <w:rsid w:val="00535DC1"/>
    <w:rsid w:val="00552098"/>
    <w:rsid w:val="00553F77"/>
    <w:rsid w:val="005623CC"/>
    <w:rsid w:val="00563076"/>
    <w:rsid w:val="00586B26"/>
    <w:rsid w:val="00592703"/>
    <w:rsid w:val="005A57DB"/>
    <w:rsid w:val="005C2D5F"/>
    <w:rsid w:val="005D6BB6"/>
    <w:rsid w:val="005F3FBF"/>
    <w:rsid w:val="006236C6"/>
    <w:rsid w:val="006439AE"/>
    <w:rsid w:val="00657A16"/>
    <w:rsid w:val="00664007"/>
    <w:rsid w:val="00673CFB"/>
    <w:rsid w:val="00677A82"/>
    <w:rsid w:val="006C3489"/>
    <w:rsid w:val="006C4A37"/>
    <w:rsid w:val="006D13D4"/>
    <w:rsid w:val="006F0343"/>
    <w:rsid w:val="00713EA3"/>
    <w:rsid w:val="0072390B"/>
    <w:rsid w:val="00734841"/>
    <w:rsid w:val="00755517"/>
    <w:rsid w:val="00787434"/>
    <w:rsid w:val="00795C79"/>
    <w:rsid w:val="007B1928"/>
    <w:rsid w:val="007E56F1"/>
    <w:rsid w:val="007E5B74"/>
    <w:rsid w:val="007F3006"/>
    <w:rsid w:val="00804991"/>
    <w:rsid w:val="0081274C"/>
    <w:rsid w:val="008242ED"/>
    <w:rsid w:val="00824F6B"/>
    <w:rsid w:val="00827714"/>
    <w:rsid w:val="008377D0"/>
    <w:rsid w:val="00846A4B"/>
    <w:rsid w:val="00847621"/>
    <w:rsid w:val="008549F1"/>
    <w:rsid w:val="008604CC"/>
    <w:rsid w:val="00861AC7"/>
    <w:rsid w:val="00861EF6"/>
    <w:rsid w:val="008912F8"/>
    <w:rsid w:val="008A50ED"/>
    <w:rsid w:val="008B1D4D"/>
    <w:rsid w:val="008B2964"/>
    <w:rsid w:val="008C35DE"/>
    <w:rsid w:val="008D696A"/>
    <w:rsid w:val="008E23EF"/>
    <w:rsid w:val="008F6149"/>
    <w:rsid w:val="008F6D36"/>
    <w:rsid w:val="00910540"/>
    <w:rsid w:val="00921EC2"/>
    <w:rsid w:val="00933A30"/>
    <w:rsid w:val="009401F5"/>
    <w:rsid w:val="00947CDD"/>
    <w:rsid w:val="00985C91"/>
    <w:rsid w:val="00991DD8"/>
    <w:rsid w:val="00997FB0"/>
    <w:rsid w:val="009A04E0"/>
    <w:rsid w:val="009B1434"/>
    <w:rsid w:val="009C5C4D"/>
    <w:rsid w:val="009C6B3E"/>
    <w:rsid w:val="009C7754"/>
    <w:rsid w:val="009E558B"/>
    <w:rsid w:val="009E567E"/>
    <w:rsid w:val="009F1AB8"/>
    <w:rsid w:val="009F7AE9"/>
    <w:rsid w:val="00A41D05"/>
    <w:rsid w:val="00A5616A"/>
    <w:rsid w:val="00A840E9"/>
    <w:rsid w:val="00A959E5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7753"/>
    <w:rsid w:val="00B729D3"/>
    <w:rsid w:val="00B80631"/>
    <w:rsid w:val="00B811EB"/>
    <w:rsid w:val="00B85270"/>
    <w:rsid w:val="00B90A57"/>
    <w:rsid w:val="00B93AB1"/>
    <w:rsid w:val="00BA719E"/>
    <w:rsid w:val="00BB54C6"/>
    <w:rsid w:val="00BC026C"/>
    <w:rsid w:val="00BC57A8"/>
    <w:rsid w:val="00BD0EC9"/>
    <w:rsid w:val="00BD577D"/>
    <w:rsid w:val="00BE501B"/>
    <w:rsid w:val="00BE616E"/>
    <w:rsid w:val="00BF18F1"/>
    <w:rsid w:val="00BF6088"/>
    <w:rsid w:val="00C302B9"/>
    <w:rsid w:val="00C376F1"/>
    <w:rsid w:val="00C85744"/>
    <w:rsid w:val="00C90FC2"/>
    <w:rsid w:val="00C962E7"/>
    <w:rsid w:val="00CB0C96"/>
    <w:rsid w:val="00CC3AAC"/>
    <w:rsid w:val="00CC6EB9"/>
    <w:rsid w:val="00CD55A9"/>
    <w:rsid w:val="00CD654A"/>
    <w:rsid w:val="00CD6FA8"/>
    <w:rsid w:val="00CE6DAC"/>
    <w:rsid w:val="00CF29DC"/>
    <w:rsid w:val="00CF561D"/>
    <w:rsid w:val="00CF712B"/>
    <w:rsid w:val="00D01401"/>
    <w:rsid w:val="00D04A2B"/>
    <w:rsid w:val="00D0618B"/>
    <w:rsid w:val="00D07650"/>
    <w:rsid w:val="00D175A9"/>
    <w:rsid w:val="00D220F3"/>
    <w:rsid w:val="00D228C9"/>
    <w:rsid w:val="00D36399"/>
    <w:rsid w:val="00D6547A"/>
    <w:rsid w:val="00D73A16"/>
    <w:rsid w:val="00DB2001"/>
    <w:rsid w:val="00DD7F46"/>
    <w:rsid w:val="00DF72CF"/>
    <w:rsid w:val="00E000E0"/>
    <w:rsid w:val="00E00620"/>
    <w:rsid w:val="00E00D29"/>
    <w:rsid w:val="00E16877"/>
    <w:rsid w:val="00E20D33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77C9"/>
    <w:rsid w:val="00F3331D"/>
    <w:rsid w:val="00F407CA"/>
    <w:rsid w:val="00F47455"/>
    <w:rsid w:val="00F518AE"/>
    <w:rsid w:val="00F5453D"/>
    <w:rsid w:val="00F648BB"/>
    <w:rsid w:val="00F70CA7"/>
    <w:rsid w:val="00F738B2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ppingcampdenhistory.org.uk/wp-search/springhi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1C79-0BC5-4CC6-AF45-BA364433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2020-01-10T14:29:00Z</dcterms:created>
  <dcterms:modified xsi:type="dcterms:W3CDTF">2020-01-14T12:42:00Z</dcterms:modified>
</cp:coreProperties>
</file>